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DA2F" w14:textId="77777777" w:rsid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b/>
          <w:iCs/>
          <w:color w:val="202020"/>
          <w:sz w:val="20"/>
          <w:szCs w:val="20"/>
        </w:rPr>
      </w:pPr>
      <w:bookmarkStart w:id="0" w:name="_GoBack"/>
      <w:bookmarkEnd w:id="0"/>
      <w:r w:rsidRPr="00BD3059">
        <w:rPr>
          <w:rFonts w:ascii="Open Sans" w:eastAsia="Times New Roman" w:hAnsi="Open Sans" w:cs="Arial"/>
          <w:b/>
          <w:iCs/>
          <w:color w:val="202020"/>
          <w:sz w:val="28"/>
          <w:szCs w:val="28"/>
        </w:rPr>
        <w:t>Libman Education</w:t>
      </w:r>
      <w:r>
        <w:rPr>
          <w:rFonts w:ascii="Open Sans" w:eastAsia="Times New Roman" w:hAnsi="Open Sans" w:cs="Arial"/>
          <w:b/>
          <w:iCs/>
          <w:color w:val="202020"/>
          <w:sz w:val="28"/>
          <w:szCs w:val="28"/>
        </w:rPr>
        <w:t xml:space="preserve"> – </w:t>
      </w:r>
      <w:r>
        <w:rPr>
          <w:rFonts w:ascii="Open Sans" w:eastAsia="Times New Roman" w:hAnsi="Open Sans" w:cs="Arial"/>
          <w:b/>
          <w:iCs/>
          <w:color w:val="202020"/>
          <w:sz w:val="20"/>
          <w:szCs w:val="20"/>
        </w:rPr>
        <w:t>Training the Healthcare Workforce</w:t>
      </w:r>
      <w:r>
        <w:rPr>
          <w:rFonts w:ascii="Open Sans" w:eastAsia="Times New Roman" w:hAnsi="Open Sans" w:cs="Arial"/>
          <w:b/>
          <w:iCs/>
          <w:color w:val="202020"/>
          <w:sz w:val="20"/>
          <w:szCs w:val="20"/>
        </w:rPr>
        <w:tab/>
      </w:r>
      <w:r>
        <w:rPr>
          <w:rFonts w:ascii="Open Sans" w:eastAsia="Times New Roman" w:hAnsi="Open Sans" w:cs="Arial"/>
          <w:b/>
          <w:iCs/>
          <w:color w:val="202020"/>
          <w:sz w:val="20"/>
          <w:szCs w:val="20"/>
        </w:rPr>
        <w:tab/>
      </w:r>
      <w:r>
        <w:rPr>
          <w:rFonts w:ascii="Open Sans" w:eastAsia="Times New Roman" w:hAnsi="Open Sans" w:cs="Arial"/>
          <w:b/>
          <w:iCs/>
          <w:color w:val="202020"/>
          <w:sz w:val="20"/>
          <w:szCs w:val="20"/>
        </w:rPr>
        <w:tab/>
      </w:r>
      <w:r>
        <w:rPr>
          <w:rFonts w:ascii="Open Sans" w:eastAsia="Times New Roman" w:hAnsi="Open Sans" w:cs="Arial"/>
          <w:b/>
          <w:iCs/>
          <w:color w:val="202020"/>
          <w:sz w:val="20"/>
          <w:szCs w:val="20"/>
        </w:rPr>
        <w:tab/>
        <w:t>July 6, 2019</w:t>
      </w:r>
    </w:p>
    <w:p w14:paraId="56B20561" w14:textId="77777777" w:rsid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b/>
          <w:iCs/>
          <w:color w:val="202020"/>
          <w:sz w:val="20"/>
          <w:szCs w:val="20"/>
        </w:rPr>
      </w:pPr>
    </w:p>
    <w:p w14:paraId="06853EF2" w14:textId="77777777" w:rsidR="00BD3059" w:rsidRPr="00BD3059" w:rsidRDefault="00BD3059" w:rsidP="00BD3059">
      <w:pPr>
        <w:spacing w:before="100" w:beforeAutospacing="1" w:after="240" w:line="315" w:lineRule="atLeast"/>
        <w:rPr>
          <w:rFonts w:eastAsia="Times New Roman" w:cs="Arial"/>
          <w:b/>
          <w:iCs/>
          <w:color w:val="202020"/>
          <w:sz w:val="40"/>
          <w:szCs w:val="40"/>
        </w:rPr>
      </w:pPr>
      <w:r w:rsidRPr="00BD3059">
        <w:rPr>
          <w:rFonts w:eastAsia="Times New Roman" w:cs="Arial"/>
          <w:b/>
          <w:iCs/>
          <w:color w:val="202020"/>
          <w:sz w:val="40"/>
          <w:szCs w:val="40"/>
        </w:rPr>
        <w:t>Q &amp; A with Dr. Z</w:t>
      </w:r>
    </w:p>
    <w:p w14:paraId="40CC822F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 xml:space="preserve">by David </w:t>
      </w:r>
      <w:proofErr w:type="spellStart"/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>Zielske</w:t>
      </w:r>
      <w:proofErr w:type="spellEnd"/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>, MD, CIRCC, COC, CCVTC, CCC, CCS, RCC</w:t>
      </w:r>
    </w:p>
    <w:p w14:paraId="00AB2EBA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b/>
          <w:bCs/>
          <w:i/>
          <w:iCs/>
          <w:color w:val="202020"/>
          <w:sz w:val="23"/>
          <w:szCs w:val="23"/>
        </w:rPr>
        <w:t xml:space="preserve">Question: </w:t>
      </w:r>
      <w:proofErr w:type="spellStart"/>
      <w:r w:rsidRPr="00BD3059">
        <w:rPr>
          <w:rFonts w:ascii="Open Sans" w:eastAsia="Times New Roman" w:hAnsi="Open Sans" w:cs="Arial"/>
          <w:b/>
          <w:bCs/>
          <w:i/>
          <w:iCs/>
          <w:color w:val="202020"/>
          <w:sz w:val="23"/>
          <w:szCs w:val="23"/>
        </w:rPr>
        <w:t>WavelinQ</w:t>
      </w:r>
      <w:proofErr w:type="spellEnd"/>
      <w:r w:rsidRPr="00BD3059">
        <w:rPr>
          <w:rFonts w:ascii="Open Sans" w:eastAsia="Times New Roman" w:hAnsi="Open Sans" w:cs="Arial"/>
          <w:b/>
          <w:bCs/>
          <w:i/>
          <w:iCs/>
          <w:color w:val="202020"/>
          <w:sz w:val="23"/>
          <w:szCs w:val="23"/>
        </w:rPr>
        <w:t xml:space="preserve"> System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br/>
      </w:r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 xml:space="preserve">We have implanted a </w:t>
      </w:r>
      <w:proofErr w:type="spellStart"/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>WavelinQ</w:t>
      </w:r>
      <w:proofErr w:type="spellEnd"/>
      <w:r w:rsidRPr="00BD3059">
        <w:rPr>
          <w:rFonts w:ascii="Open Sans" w:eastAsia="Times New Roman" w:hAnsi="Open Sans" w:cs="Arial"/>
          <w:i/>
          <w:iCs/>
          <w:color w:val="202020"/>
          <w:sz w:val="23"/>
          <w:szCs w:val="23"/>
        </w:rPr>
        <w:t xml:space="preserve"> device but are not sure how to code this procedure. There is a supply C-code available, but we don’t know which CPT code to use.</w:t>
      </w:r>
    </w:p>
    <w:p w14:paraId="422C4D64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b/>
          <w:bCs/>
          <w:color w:val="202020"/>
          <w:sz w:val="23"/>
          <w:szCs w:val="23"/>
        </w:rPr>
        <w:t>Answer: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br/>
        <w:t xml:space="preserve">The </w:t>
      </w:r>
      <w:proofErr w:type="spellStart"/>
      <w:r w:rsidRPr="00BD3059">
        <w:rPr>
          <w:rFonts w:ascii="Open Sans" w:eastAsia="Times New Roman" w:hAnsi="Open Sans" w:cs="Arial"/>
          <w:color w:val="FF0000"/>
          <w:sz w:val="23"/>
          <w:szCs w:val="23"/>
        </w:rPr>
        <w:t>WavelinQ</w:t>
      </w:r>
      <w:proofErr w:type="spellEnd"/>
      <w:r w:rsidRPr="00BD3059">
        <w:rPr>
          <w:rFonts w:ascii="Open Sans" w:eastAsia="Times New Roman" w:hAnsi="Open Sans" w:cs="Arial"/>
          <w:color w:val="FF0000"/>
          <w:sz w:val="23"/>
          <w:szCs w:val="23"/>
        </w:rPr>
        <w:t xml:space="preserve"> 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is fairly new technology </w:t>
      </w:r>
      <w:r w:rsidRPr="00BD3059">
        <w:rPr>
          <w:rFonts w:ascii="Open Sans" w:eastAsia="Times New Roman" w:hAnsi="Open Sans" w:cs="Arial"/>
          <w:color w:val="FF0000"/>
          <w:sz w:val="23"/>
          <w:szCs w:val="23"/>
        </w:rPr>
        <w:t xml:space="preserve">for creating an AV dialysis fistula. 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It requires separate percutaneous venous and arterial access and uses two catheters with a built in magnet to position the catheters. RF energy is then used to create the fistula.</w:t>
      </w:r>
    </w:p>
    <w:p w14:paraId="38A1DB88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The C-code you refer to as a supply code is probably the procedure code. The procedure is reported with HCPCS level II code, </w:t>
      </w:r>
      <w:r w:rsidRPr="00BD3059">
        <w:rPr>
          <w:rFonts w:ascii="Open Sans" w:eastAsia="Times New Roman" w:hAnsi="Open Sans" w:cs="Arial"/>
          <w:b/>
          <w:bCs/>
          <w:color w:val="202020"/>
          <w:sz w:val="23"/>
          <w:szCs w:val="23"/>
        </w:rPr>
        <w:t>C9755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, with a national APC payment of $9,669.04. This code became effective on 1/1/2019. Payment at an ASC is about half as much as APC payment. For physician billing, there is no specific code. Physicians report unlisted code </w:t>
      </w:r>
      <w:r w:rsidRPr="00BD3059">
        <w:rPr>
          <w:rFonts w:ascii="Open Sans" w:eastAsia="Times New Roman" w:hAnsi="Open Sans" w:cs="Arial"/>
          <w:b/>
          <w:bCs/>
          <w:color w:val="202020"/>
          <w:sz w:val="23"/>
          <w:szCs w:val="23"/>
        </w:rPr>
        <w:t>37799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 for the procedure.</w:t>
      </w:r>
    </w:p>
    <w:p w14:paraId="346FCC6B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Another new method for AV fistula creation uses the </w:t>
      </w:r>
      <w:proofErr w:type="spellStart"/>
      <w:r w:rsidRPr="00BD3059">
        <w:rPr>
          <w:rFonts w:ascii="Open Sans" w:eastAsia="Times New Roman" w:hAnsi="Open Sans" w:cs="Arial"/>
          <w:color w:val="FF0000"/>
          <w:sz w:val="23"/>
          <w:szCs w:val="23"/>
        </w:rPr>
        <w:t>Ellipsys</w:t>
      </w:r>
      <w:proofErr w:type="spellEnd"/>
      <w:r w:rsidRPr="00BD3059">
        <w:rPr>
          <w:rFonts w:ascii="Open Sans" w:eastAsia="Times New Roman" w:hAnsi="Open Sans" w:cs="Arial"/>
          <w:color w:val="FF0000"/>
          <w:sz w:val="23"/>
          <w:szCs w:val="23"/>
        </w:rPr>
        <w:t xml:space="preserve"> device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, which is reported with code </w:t>
      </w:r>
      <w:r w:rsidRPr="00BD3059">
        <w:rPr>
          <w:rFonts w:ascii="Open Sans" w:eastAsia="Times New Roman" w:hAnsi="Open Sans" w:cs="Arial"/>
          <w:b/>
          <w:bCs/>
          <w:color w:val="202020"/>
          <w:sz w:val="23"/>
          <w:szCs w:val="23"/>
        </w:rPr>
        <w:t>C9754</w:t>
      </w: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.</w:t>
      </w:r>
    </w:p>
    <w:p w14:paraId="400200CF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 </w:t>
      </w:r>
    </w:p>
    <w:p w14:paraId="27E5DA2B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noProof/>
          <w:color w:val="202020"/>
          <w:sz w:val="23"/>
          <w:szCs w:val="23"/>
        </w:rPr>
        <w:drawing>
          <wp:inline distT="0" distB="0" distL="0" distR="0" wp14:anchorId="5DCEAC37" wp14:editId="5CB19012">
            <wp:extent cx="5611897" cy="2179366"/>
            <wp:effectExtent l="0" t="0" r="8255" b="0"/>
            <wp:docPr id="1" name="Picture 1" descr="https://libmaneducation.com/wp-content/uploads/2019/07/WavelinQ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maneducation.com/wp-content/uploads/2019/07/WavelinQ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2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7CB6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noProof/>
          <w:color w:val="202020"/>
          <w:sz w:val="23"/>
          <w:szCs w:val="23"/>
        </w:rPr>
        <w:lastRenderedPageBreak/>
        <w:drawing>
          <wp:inline distT="0" distB="0" distL="0" distR="0" wp14:anchorId="22F0F76E" wp14:editId="1150F83A">
            <wp:extent cx="5892901" cy="1885826"/>
            <wp:effectExtent l="0" t="0" r="0" b="635"/>
            <wp:docPr id="2" name="Picture 2" descr="https://libmaneducation.com/wp-content/uploads/2019/07/WavelinQ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maneducation.com/wp-content/uploads/2019/07/WavelinQ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26" cy="18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2AD4" w14:textId="77777777" w:rsidR="00BD3059" w:rsidRPr="00BD3059" w:rsidRDefault="00BD3059" w:rsidP="00BD3059">
      <w:pPr>
        <w:spacing w:before="100" w:beforeAutospacing="1" w:after="240" w:line="31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 </w:t>
      </w:r>
    </w:p>
    <w:p w14:paraId="2AC8099E" w14:textId="77777777" w:rsidR="00BD3059" w:rsidRPr="00BD3059" w:rsidRDefault="00BD3059" w:rsidP="00BD3059">
      <w:pPr>
        <w:spacing w:before="100" w:beforeAutospacing="1" w:after="150" w:line="375" w:lineRule="atLeast"/>
        <w:outlineLvl w:val="3"/>
        <w:rPr>
          <w:rFonts w:ascii="Open Sans" w:eastAsia="Times New Roman" w:hAnsi="Open Sans" w:cs="Arial"/>
          <w:color w:val="042345"/>
          <w:sz w:val="27"/>
          <w:szCs w:val="27"/>
        </w:rPr>
      </w:pPr>
      <w:r w:rsidRPr="00BD3059">
        <w:rPr>
          <w:rFonts w:ascii="Open Sans" w:eastAsia="Times New Roman" w:hAnsi="Open Sans" w:cs="Arial"/>
          <w:color w:val="042345"/>
          <w:sz w:val="27"/>
          <w:szCs w:val="27"/>
        </w:rPr>
        <w:t>About the Author</w:t>
      </w:r>
    </w:p>
    <w:p w14:paraId="5725BCF3" w14:textId="77777777" w:rsidR="00BD3059" w:rsidRPr="00BD3059" w:rsidRDefault="00BD3059" w:rsidP="00BD3059">
      <w:pPr>
        <w:shd w:val="clear" w:color="auto" w:fill="F9F9F9"/>
        <w:spacing w:line="345" w:lineRule="atLeast"/>
        <w:rPr>
          <w:rFonts w:ascii="Open Sans" w:eastAsia="Times New Roman" w:hAnsi="Open Sans" w:cs="Arial"/>
          <w:color w:val="202020"/>
          <w:sz w:val="23"/>
          <w:szCs w:val="23"/>
        </w:rPr>
      </w:pPr>
      <w:r w:rsidRPr="00BD3059">
        <w:rPr>
          <w:rFonts w:ascii="Open Sans" w:eastAsia="Times New Roman" w:hAnsi="Open Sans" w:cs="Arial"/>
          <w:noProof/>
          <w:color w:val="202020"/>
          <w:sz w:val="23"/>
          <w:szCs w:val="23"/>
        </w:rPr>
        <w:drawing>
          <wp:inline distT="0" distB="0" distL="0" distR="0" wp14:anchorId="6A4F8490" wp14:editId="079D6AB2">
            <wp:extent cx="914400" cy="914400"/>
            <wp:effectExtent l="0" t="0" r="0" b="0"/>
            <wp:docPr id="4" name="Picture 4" descr="https://secure.gravatar.com/avatar/ef060d08d3efd38c7ab083230ffd700b?s=96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gravatar.com/avatar/ef060d08d3efd38c7ab083230ffd700b?s=96&amp;d=mm&amp;r=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BD3059">
          <w:rPr>
            <w:rFonts w:ascii="open sans!important" w:eastAsia="Times New Roman" w:hAnsi="open sans!important" w:cs="Arial"/>
            <w:b/>
            <w:bCs/>
            <w:color w:val="333333"/>
            <w:sz w:val="23"/>
            <w:szCs w:val="23"/>
          </w:rPr>
          <w:t xml:space="preserve">David </w:t>
        </w:r>
        <w:proofErr w:type="spellStart"/>
        <w:r w:rsidRPr="00BD3059">
          <w:rPr>
            <w:rFonts w:ascii="open sans!important" w:eastAsia="Times New Roman" w:hAnsi="open sans!important" w:cs="Arial"/>
            <w:b/>
            <w:bCs/>
            <w:color w:val="333333"/>
            <w:sz w:val="23"/>
            <w:szCs w:val="23"/>
          </w:rPr>
          <w:t>Zielske</w:t>
        </w:r>
        <w:proofErr w:type="spellEnd"/>
        <w:r w:rsidRPr="00BD3059">
          <w:rPr>
            <w:rFonts w:ascii="open sans!important" w:eastAsia="Times New Roman" w:hAnsi="open sans!important" w:cs="Arial"/>
            <w:b/>
            <w:bCs/>
            <w:color w:val="333333"/>
            <w:sz w:val="23"/>
            <w:szCs w:val="23"/>
          </w:rPr>
          <w:t xml:space="preserve">, MD, CIRCC, COC, CCVTC, CCC, CCS, RCC </w:t>
        </w:r>
      </w:hyperlink>
      <w:r w:rsidRPr="00BD3059">
        <w:rPr>
          <w:rFonts w:ascii="Open Sans" w:eastAsia="Times New Roman" w:hAnsi="Open Sans" w:cs="Arial"/>
          <w:color w:val="202020"/>
          <w:sz w:val="23"/>
          <w:szCs w:val="23"/>
        </w:rPr>
        <w:br/>
        <w:t xml:space="preserve">David </w:t>
      </w:r>
      <w:proofErr w:type="spellStart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Zielske</w:t>
      </w:r>
      <w:proofErr w:type="spellEnd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 is founder and President of </w:t>
      </w:r>
      <w:proofErr w:type="spellStart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ZHealth</w:t>
      </w:r>
      <w:proofErr w:type="spellEnd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 Publishing and primary author and editor of </w:t>
      </w:r>
      <w:proofErr w:type="spellStart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ZHealth</w:t>
      </w:r>
      <w:proofErr w:type="spellEnd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 publications. Dr. Z practiced as an interventional radiologist and has over twenty </w:t>
      </w:r>
      <w:proofErr w:type="spellStart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>years experience</w:t>
      </w:r>
      <w:proofErr w:type="spellEnd"/>
      <w:r w:rsidRPr="00BD3059">
        <w:rPr>
          <w:rFonts w:ascii="Open Sans" w:eastAsia="Times New Roman" w:hAnsi="Open Sans" w:cs="Arial"/>
          <w:color w:val="202020"/>
          <w:sz w:val="23"/>
          <w:szCs w:val="23"/>
        </w:rPr>
        <w:t xml:space="preserve"> as a coding reviewer and coding expert. He is Board Certified in Radiology and has functioned as an independent interventional radiology, vascular surgery, and cardiovascular coding consultant to a variety of physician groups and hospital providers across the country. He also served as an instructor for over 200 coding seminars. </w:t>
      </w:r>
    </w:p>
    <w:sectPr w:rsidR="00BD3059" w:rsidRPr="00BD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532"/>
    <w:multiLevelType w:val="multilevel"/>
    <w:tmpl w:val="717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2071C"/>
    <w:multiLevelType w:val="multilevel"/>
    <w:tmpl w:val="E74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40B76"/>
    <w:multiLevelType w:val="multilevel"/>
    <w:tmpl w:val="DD5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793B"/>
    <w:multiLevelType w:val="multilevel"/>
    <w:tmpl w:val="3BE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9105B"/>
    <w:multiLevelType w:val="multilevel"/>
    <w:tmpl w:val="62E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6DAC"/>
    <w:multiLevelType w:val="multilevel"/>
    <w:tmpl w:val="44E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D6147"/>
    <w:multiLevelType w:val="multilevel"/>
    <w:tmpl w:val="6A6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F754F"/>
    <w:multiLevelType w:val="multilevel"/>
    <w:tmpl w:val="4B0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67762"/>
    <w:multiLevelType w:val="multilevel"/>
    <w:tmpl w:val="7E4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59"/>
    <w:rsid w:val="002507AA"/>
    <w:rsid w:val="009B7819"/>
    <w:rsid w:val="00B26CC7"/>
    <w:rsid w:val="00B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9008"/>
  <w15:chartTrackingRefBased/>
  <w15:docId w15:val="{0AAFF36B-EECF-4868-BC35-44182875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7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5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EEEEE"/>
                        <w:left w:val="single" w:sz="6" w:space="15" w:color="EEEEEE"/>
                        <w:bottom w:val="single" w:sz="6" w:space="15" w:color="EEEEEE"/>
                        <w:right w:val="single" w:sz="6" w:space="15" w:color="EEEEEE"/>
                      </w:divBdr>
                    </w:div>
                    <w:div w:id="1100296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019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964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69548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59448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29080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32145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99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009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78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maneducation.com/author/dziels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Seda.Kathy</dc:creator>
  <cp:keywords/>
  <dc:description/>
  <cp:lastModifiedBy>Lamon Willis</cp:lastModifiedBy>
  <cp:revision>2</cp:revision>
  <dcterms:created xsi:type="dcterms:W3CDTF">2019-07-10T13:46:00Z</dcterms:created>
  <dcterms:modified xsi:type="dcterms:W3CDTF">2019-07-10T13:46:00Z</dcterms:modified>
</cp:coreProperties>
</file>